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B64F5C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 w:rsidRPr="00B64F5C">
        <w:rPr>
          <w:rFonts w:ascii="Arial" w:hAnsi="Arial" w:cs="Arial"/>
          <w:b/>
          <w:color w:val="333374"/>
          <w:spacing w:val="-2"/>
          <w:sz w:val="56"/>
          <w:szCs w:val="72"/>
        </w:rPr>
        <w:t>Energy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E0475E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D42423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bookmarkStart w:id="0" w:name="_GoBack"/>
            <w:r w:rsidRPr="00E17970">
              <w:rPr>
                <w:rFonts w:ascii="Arial" w:hAnsi="Arial" w:cs="Arial"/>
                <w:color w:val="FFFFFF"/>
                <w:sz w:val="28"/>
                <w:szCs w:val="34"/>
              </w:rPr>
              <w:t>Our first steps: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Make use of natural lighting. It has a positive impact on workplace productivity and employee well-being, and saves energy and money!</w:t>
            </w:r>
          </w:p>
        </w:tc>
        <w:sdt>
          <w:sdtPr>
            <w:rPr>
              <w:rFonts w:ascii="Arial" w:hAnsi="Arial" w:cs="Arial"/>
              <w:color w:val="333374"/>
            </w:rPr>
            <w:id w:val="42283644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Increase lighting efficiency by installing motion sensors and changing bulbs to LEDs, which use around 80% less energy and last longer.</w:t>
            </w:r>
          </w:p>
        </w:tc>
        <w:sdt>
          <w:sdtPr>
            <w:rPr>
              <w:rFonts w:ascii="Arial" w:hAnsi="Arial" w:cs="Arial"/>
              <w:color w:val="333374"/>
            </w:rPr>
            <w:id w:val="203429845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Set your hot water temperature to a maximum of 60˚Celsius and talk to your maintenance manager or local plumber about low cost options to insulate your hot water system. </w:t>
            </w:r>
          </w:p>
        </w:tc>
        <w:sdt>
          <w:sdtPr>
            <w:rPr>
              <w:rFonts w:ascii="Arial" w:hAnsi="Arial" w:cs="Arial"/>
              <w:color w:val="333374"/>
            </w:rPr>
            <w:id w:val="2108681797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Use timing functions to coincide cooling and/or heating control with your opening hours.</w:t>
            </w:r>
          </w:p>
        </w:tc>
        <w:sdt>
          <w:sdtPr>
            <w:rPr>
              <w:rFonts w:ascii="Arial" w:hAnsi="Arial" w:cs="Arial"/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color w:val="323373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Set your thermostats in accordance with the following and ask housekeeping to return thermostats to these set-points:</w:t>
            </w:r>
          </w:p>
          <w:p w:rsidR="00D42423" w:rsidRPr="00D92539" w:rsidRDefault="00D42423" w:rsidP="00D42423">
            <w:pPr>
              <w:pStyle w:val="abullets"/>
              <w:numPr>
                <w:ilvl w:val="0"/>
                <w:numId w:val="1"/>
              </w:numPr>
              <w:rPr>
                <w:rFonts w:ascii="Arial" w:hAnsi="Arial" w:cs="Arial"/>
                <w:color w:val="323373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Air-conditioning: 24˚Celsius</w:t>
            </w:r>
          </w:p>
          <w:p w:rsidR="00D42423" w:rsidRPr="00D92539" w:rsidRDefault="00D42423" w:rsidP="00D42423">
            <w:pPr>
              <w:pStyle w:val="abullets"/>
              <w:numPr>
                <w:ilvl w:val="0"/>
                <w:numId w:val="1"/>
              </w:numPr>
              <w:rPr>
                <w:rFonts w:ascii="Arial" w:hAnsi="Arial" w:cs="Arial"/>
                <w:color w:val="323373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Heating: 18˚Celsius</w:t>
            </w:r>
          </w:p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Adjusting your cooling or heating by just one degree can bring significant savings to your business.</w:t>
            </w:r>
          </w:p>
        </w:tc>
        <w:sdt>
          <w:sdtPr>
            <w:rPr>
              <w:rFonts w:ascii="Arial" w:hAnsi="Arial" w:cs="Arial"/>
              <w:color w:val="333374"/>
            </w:rPr>
            <w:id w:val="138051877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Clean the filters in your heating and cooling systems once a month to </w:t>
            </w:r>
            <w:proofErr w:type="spellStart"/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maximise</w:t>
            </w:r>
            <w:proofErr w:type="spellEnd"/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 efficiency. Dirty filters can increase running costs by 5 – 10%.  </w:t>
            </w:r>
          </w:p>
        </w:tc>
        <w:sdt>
          <w:sdtPr>
            <w:rPr>
              <w:rFonts w:ascii="Arial" w:hAnsi="Arial" w:cs="Arial"/>
              <w:color w:val="333374"/>
            </w:rPr>
            <w:id w:val="-61005156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Ensure that the dress code for your staff is appropriate for your climate, allowing them to be more comfortable in hot or cold weather. </w:t>
            </w:r>
          </w:p>
        </w:tc>
        <w:sdt>
          <w:sdtPr>
            <w:rPr>
              <w:rFonts w:ascii="Arial" w:hAnsi="Arial" w:cs="Arial"/>
              <w:color w:val="333374"/>
            </w:rPr>
            <w:id w:val="86402282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Power down electrical equipment at night, including TVs, computers, printers and monitors. Standby power is an energy sponge that results in significant carbon emissions each year. </w:t>
            </w:r>
          </w:p>
        </w:tc>
        <w:sdt>
          <w:sdtPr>
            <w:rPr>
              <w:rFonts w:ascii="Arial" w:hAnsi="Arial" w:cs="Arial"/>
              <w:color w:val="333374"/>
            </w:rPr>
            <w:id w:val="-1913229399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Clean and maintain all electrical equipment regularly to ensure they are operating at maximum efficiency, including office, kitchen and workshop equipment. </w:t>
            </w:r>
          </w:p>
        </w:tc>
        <w:sdt>
          <w:sdtPr>
            <w:rPr>
              <w:rFonts w:ascii="Arial" w:hAnsi="Arial" w:cs="Arial"/>
              <w:color w:val="333374"/>
            </w:rPr>
            <w:id w:val="-93778774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Get your staff on board. Provide training and education about how they can save energy and create an energy efficient culture within your business.</w:t>
            </w:r>
          </w:p>
        </w:tc>
        <w:sdt>
          <w:sdtPr>
            <w:rPr>
              <w:rFonts w:ascii="Arial" w:hAnsi="Arial" w:cs="Arial"/>
              <w:color w:val="333374"/>
            </w:rPr>
            <w:id w:val="871735794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Display signs, posters or flyers to educate and encourage staff and </w:t>
            </w:r>
            <w:proofErr w:type="spellStart"/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travellers</w:t>
            </w:r>
            <w:proofErr w:type="spellEnd"/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 about energy efficiency. Give </w:t>
            </w:r>
            <w:proofErr w:type="spellStart"/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travellers</w:t>
            </w:r>
            <w:proofErr w:type="spellEnd"/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 xml:space="preserve"> practical advice relevant to their visitor experience, for example ask hotel guests to keep doors and windows closed while air-conditioners are running.   </w:t>
            </w:r>
          </w:p>
        </w:tc>
        <w:sdt>
          <w:sdtPr>
            <w:rPr>
              <w:rFonts w:ascii="Arial" w:hAnsi="Arial" w:cs="Arial"/>
              <w:color w:val="333374"/>
            </w:rPr>
            <w:id w:val="377904148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tr w:rsidR="00D42423" w:rsidRPr="00AC578A" w:rsidTr="00E0475E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D42423" w:rsidRPr="00D92539" w:rsidRDefault="00D42423" w:rsidP="00D42423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lastRenderedPageBreak/>
              <w:t xml:space="preserve">Check how your energy spend compares to similar businesses in your area through a free online program called </w:t>
            </w:r>
            <w:hyperlink r:id="rId9" w:history="1">
              <w:r w:rsidRPr="00491FEB">
                <w:rPr>
                  <w:rStyle w:val="Hyperlink"/>
                  <w:rFonts w:ascii="Arial" w:hAnsi="Arial" w:cs="Arial"/>
                  <w:sz w:val="18"/>
                  <w:szCs w:val="18"/>
                </w:rPr>
                <w:t>Check your Energy Spend</w:t>
              </w:r>
            </w:hyperlink>
            <w:r w:rsidRPr="00D92539">
              <w:rPr>
                <w:rFonts w:ascii="Arial" w:hAnsi="Arial" w:cs="Arial"/>
                <w:color w:val="323373"/>
                <w:sz w:val="18"/>
                <w:szCs w:val="18"/>
              </w:rPr>
              <w:t>.</w:t>
            </w:r>
          </w:p>
        </w:tc>
        <w:sdt>
          <w:sdtPr>
            <w:rPr>
              <w:rFonts w:ascii="Arial" w:hAnsi="Arial" w:cs="Arial"/>
              <w:color w:val="333374"/>
            </w:rPr>
            <w:id w:val="-957419549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D42423" w:rsidRPr="00AC578A" w:rsidRDefault="00B64F5C" w:rsidP="00121A88">
                <w:pPr>
                  <w:jc w:val="center"/>
                  <w:rPr>
                    <w:rFonts w:ascii="Arial" w:hAnsi="Arial" w:cs="Arial"/>
                    <w:color w:val="333374"/>
                  </w:rPr>
                </w:pPr>
                <w:r>
                  <w:rPr>
                    <w:rFonts w:ascii="MS Gothic" w:eastAsia="MS Gothic" w:hAnsi="MS Gothic" w:cs="Arial" w:hint="eastAsia"/>
                    <w:color w:val="333374"/>
                  </w:rPr>
                  <w:t>☐</w:t>
                </w:r>
              </w:p>
            </w:tc>
          </w:sdtContent>
        </w:sdt>
      </w:tr>
      <w:bookmarkEnd w:id="0"/>
    </w:tbl>
    <w:p w:rsidR="005E434B" w:rsidRDefault="00E0475E"/>
    <w:sectPr w:rsidR="005E434B" w:rsidSect="00B64F5C">
      <w:footerReference w:type="default" r:id="rId10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10AA0"/>
    <w:multiLevelType w:val="hybridMultilevel"/>
    <w:tmpl w:val="BB6CA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121A88"/>
    <w:rsid w:val="0020528B"/>
    <w:rsid w:val="004018F7"/>
    <w:rsid w:val="00491FEB"/>
    <w:rsid w:val="0073493F"/>
    <w:rsid w:val="007441B1"/>
    <w:rsid w:val="007B5A58"/>
    <w:rsid w:val="007C7A79"/>
    <w:rsid w:val="009A6D05"/>
    <w:rsid w:val="00AC578A"/>
    <w:rsid w:val="00AC6B11"/>
    <w:rsid w:val="00B64F5C"/>
    <w:rsid w:val="00BD0551"/>
    <w:rsid w:val="00C32C11"/>
    <w:rsid w:val="00D05A3F"/>
    <w:rsid w:val="00D42423"/>
    <w:rsid w:val="00D92539"/>
    <w:rsid w:val="00E0475E"/>
    <w:rsid w:val="00E1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491F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eckyourenergyspend.com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B26C-96A1-40BC-8584-FEFFBD60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14</cp:revision>
  <dcterms:created xsi:type="dcterms:W3CDTF">2023-07-03T05:29:00Z</dcterms:created>
  <dcterms:modified xsi:type="dcterms:W3CDTF">2023-07-05T04:54:00Z</dcterms:modified>
</cp:coreProperties>
</file>